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F2896">
      <w:pPr>
        <w:jc w:val="center"/>
        <w:outlineLvl w:val="0"/>
        <w:rPr>
          <w:rFonts w:ascii="黑体" w:hAnsi="黑体" w:eastAsia="黑体"/>
          <w:b/>
          <w:sz w:val="16"/>
          <w:szCs w:val="16"/>
        </w:rPr>
      </w:pPr>
      <w:r>
        <w:rPr>
          <w:rFonts w:hint="eastAsia" w:ascii="黑体" w:hAnsi="黑体" w:eastAsia="黑体"/>
          <w:b/>
          <w:sz w:val="32"/>
        </w:rPr>
        <w:t>商户跨境</w:t>
      </w:r>
      <w:bookmarkStart w:id="4" w:name="_GoBack"/>
      <w:bookmarkEnd w:id="4"/>
      <w:r>
        <w:rPr>
          <w:rFonts w:ascii="黑体" w:hAnsi="黑体" w:eastAsia="黑体"/>
          <w:b/>
          <w:sz w:val="32"/>
        </w:rPr>
        <w:t>操作手册</w:t>
      </w:r>
      <w:r>
        <w:rPr>
          <w:rFonts w:hint="eastAsia" w:ascii="黑体" w:hAnsi="黑体" w:eastAsia="黑体"/>
          <w:b/>
          <w:sz w:val="32"/>
        </w:rPr>
        <w:t>（B2</w:t>
      </w:r>
      <w:r>
        <w:rPr>
          <w:rFonts w:ascii="黑体" w:hAnsi="黑体" w:eastAsia="黑体"/>
          <w:b/>
          <w:sz w:val="32"/>
        </w:rPr>
        <w:t>C</w:t>
      </w:r>
      <w:r>
        <w:rPr>
          <w:rFonts w:hint="eastAsia" w:ascii="黑体" w:hAnsi="黑体" w:eastAsia="黑体"/>
          <w:b/>
          <w:sz w:val="32"/>
        </w:rPr>
        <w:t>出境）</w:t>
      </w:r>
    </w:p>
    <w:p w14:paraId="263C8D7F">
      <w:pPr>
        <w:jc w:val="center"/>
        <w:rPr>
          <w:rFonts w:ascii="黑体" w:hAnsi="黑体" w:eastAsia="黑体"/>
          <w:b/>
          <w:sz w:val="16"/>
          <w:szCs w:val="16"/>
        </w:rPr>
      </w:pPr>
    </w:p>
    <w:p w14:paraId="0E6DE12E">
      <w:pPr>
        <w:pStyle w:val="8"/>
        <w:numPr>
          <w:ilvl w:val="0"/>
          <w:numId w:val="2"/>
        </w:numPr>
        <w:ind w:firstLineChars="0"/>
        <w:jc w:val="left"/>
        <w:outlineLvl w:val="0"/>
        <w:rPr>
          <w:rFonts w:ascii="黑体" w:hAnsi="黑体" w:eastAsia="黑体"/>
          <w:b/>
          <w:sz w:val="24"/>
        </w:rPr>
      </w:pPr>
      <w:r>
        <w:rPr>
          <w:rFonts w:hint="eastAsia" w:ascii="黑体" w:hAnsi="黑体" w:eastAsia="黑体"/>
          <w:b/>
          <w:sz w:val="24"/>
        </w:rPr>
        <w:t>商户号</w:t>
      </w:r>
      <w:r>
        <w:rPr>
          <w:rFonts w:ascii="黑体" w:hAnsi="黑体" w:eastAsia="黑体"/>
          <w:b/>
          <w:sz w:val="24"/>
        </w:rPr>
        <w:t>开通通知</w:t>
      </w:r>
    </w:p>
    <w:p w14:paraId="21CD1663">
      <w:r>
        <w:rPr>
          <w:rFonts w:hint="eastAsia"/>
        </w:rPr>
        <w:t>汇付</w:t>
      </w:r>
      <w:r>
        <w:t>完成商户号开通及产品配置后，邮件通知贵司商户号</w:t>
      </w:r>
      <w:r>
        <w:rPr>
          <w:rFonts w:hint="eastAsia"/>
        </w:rPr>
        <w:t>开通</w:t>
      </w:r>
      <w:r>
        <w:t>结果</w:t>
      </w:r>
      <w:r>
        <w:rPr>
          <w:rFonts w:hint="eastAsia"/>
        </w:rPr>
        <w:t>以及</w:t>
      </w:r>
      <w:r>
        <w:t>及客户</w:t>
      </w:r>
      <w:r>
        <w:rPr>
          <w:rFonts w:hint="eastAsia"/>
        </w:rPr>
        <w:t>后台</w:t>
      </w:r>
      <w:r>
        <w:t>登录地址</w:t>
      </w:r>
    </w:p>
    <w:p w14:paraId="62A70BE4"/>
    <w:p w14:paraId="6A124960">
      <w:pPr>
        <w:pStyle w:val="8"/>
        <w:numPr>
          <w:ilvl w:val="0"/>
          <w:numId w:val="2"/>
        </w:numPr>
        <w:ind w:firstLineChars="0"/>
        <w:jc w:val="left"/>
        <w:outlineLvl w:val="0"/>
        <w:rPr>
          <w:rFonts w:ascii="黑体" w:hAnsi="黑体" w:eastAsia="黑体"/>
          <w:b/>
          <w:sz w:val="24"/>
        </w:rPr>
      </w:pPr>
      <w:r>
        <w:rPr>
          <w:rFonts w:hint="eastAsia" w:ascii="黑体" w:hAnsi="黑体" w:eastAsia="黑体"/>
          <w:b/>
          <w:sz w:val="24"/>
        </w:rPr>
        <w:t>跨境交易</w:t>
      </w:r>
      <w:r>
        <w:rPr>
          <w:rFonts w:ascii="黑体" w:hAnsi="黑体" w:eastAsia="黑体"/>
          <w:b/>
          <w:sz w:val="24"/>
        </w:rPr>
        <w:t>明细核验</w:t>
      </w:r>
    </w:p>
    <w:p w14:paraId="751F4A4F">
      <w:r>
        <w:rPr>
          <w:rFonts w:hint="eastAsia"/>
        </w:rPr>
        <w:t>收单资金的出境是基于收单交易明细进行申报来完成出境的。故此我们提供了两种方式供您筛选作为申报依据的订单明细来完成资金出境：</w:t>
      </w:r>
    </w:p>
    <w:p w14:paraId="61753742">
      <w:pPr>
        <w:rPr>
          <w:rFonts w:ascii="黑体" w:hAnsi="黑体" w:eastAsia="黑体"/>
          <w:b/>
          <w:sz w:val="24"/>
        </w:rPr>
      </w:pPr>
      <w:r>
        <w:rPr>
          <w:rFonts w:hint="eastAsia"/>
        </w:rPr>
        <w:t>分别是文件导入形式和交易筛选形式。</w:t>
      </w:r>
    </w:p>
    <w:p w14:paraId="40FE15F9">
      <w:pPr>
        <w:pStyle w:val="8"/>
        <w:ind w:firstLine="422"/>
        <w:outlineLvl w:val="1"/>
        <w:rPr>
          <w:b/>
          <w:bCs/>
        </w:rPr>
      </w:pPr>
      <w:bookmarkStart w:id="0" w:name="_Toc25042"/>
      <w:r>
        <w:rPr>
          <w:rFonts w:hint="eastAsia"/>
          <w:b/>
          <w:bCs/>
        </w:rPr>
        <w:t>2.1</w:t>
      </w:r>
      <w:bookmarkStart w:id="1" w:name="_Toc11961"/>
      <w:r>
        <w:rPr>
          <w:rFonts w:hint="eastAsia"/>
          <w:b/>
          <w:bCs/>
        </w:rPr>
        <w:t>交易筛选方式</w:t>
      </w:r>
      <w:bookmarkEnd w:id="1"/>
    </w:p>
    <w:p w14:paraId="49452B77">
      <w:pPr>
        <w:pStyle w:val="8"/>
        <w:outlineLvl w:val="2"/>
      </w:pPr>
      <w:r>
        <w:rPr>
          <w:rFonts w:hint="eastAsia"/>
        </w:rPr>
        <w:t>2.1.1交易筛选及提交</w:t>
      </w:r>
      <w:bookmarkEnd w:id="0"/>
    </w:p>
    <w:p w14:paraId="0B9146A5">
      <w:r>
        <w:rPr>
          <w:rFonts w:hint="eastAsia"/>
        </w:rPr>
        <w:t>进入“人民币出境管理&gt;</w:t>
      </w:r>
      <w:r>
        <w:t>&gt;</w:t>
      </w:r>
      <w:r>
        <w:rPr>
          <w:rFonts w:hint="eastAsia"/>
        </w:rPr>
        <w:t>人民币出境订单明细”页面，如下图指示，选择“交易筛选”，进入“交易筛选”子页面。</w:t>
      </w:r>
    </w:p>
    <w:p w14:paraId="2818C2AD">
      <w:r>
        <w:drawing>
          <wp:inline distT="0" distB="0" distL="0" distR="0">
            <wp:extent cx="6645910" cy="1979295"/>
            <wp:effectExtent l="0" t="0" r="2540" b="190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6"/>
                    <a:stretch>
                      <a:fillRect/>
                    </a:stretch>
                  </pic:blipFill>
                  <pic:spPr>
                    <a:xfrm>
                      <a:off x="0" y="0"/>
                      <a:ext cx="6645910" cy="1979295"/>
                    </a:xfrm>
                    <a:prstGeom prst="rect">
                      <a:avLst/>
                    </a:prstGeom>
                  </pic:spPr>
                </pic:pic>
              </a:graphicData>
            </a:graphic>
          </wp:inline>
        </w:drawing>
      </w:r>
    </w:p>
    <w:p w14:paraId="4F01BCFE">
      <w:r>
        <w:rPr>
          <w:rFonts w:hint="eastAsia"/>
        </w:rPr>
        <w:t>进入“交易筛选”子页面（如下图）后，按照交易时间+交易终端进行交易筛选，</w:t>
      </w:r>
    </w:p>
    <w:p w14:paraId="29C6FC56">
      <w:r>
        <w:drawing>
          <wp:inline distT="0" distB="0" distL="114300" distR="114300">
            <wp:extent cx="5953125" cy="15144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953125" cy="1514475"/>
                    </a:xfrm>
                    <a:prstGeom prst="rect">
                      <a:avLst/>
                    </a:prstGeom>
                    <a:noFill/>
                    <a:ln>
                      <a:noFill/>
                    </a:ln>
                  </pic:spPr>
                </pic:pic>
              </a:graphicData>
            </a:graphic>
          </wp:inline>
        </w:drawing>
      </w:r>
    </w:p>
    <w:p w14:paraId="2A893B0D">
      <w:r>
        <w:rPr>
          <w:rFonts w:hint="eastAsia"/>
        </w:rPr>
        <w:t>选择好您需要设定的交易时间范围和终端范围后，点击“查询”即可展示复核条件的所有交易记录；若无问题，点击“确认订单”，系统会自动汇总统计范围内的交易情况并展示供您确认。（如下图）</w:t>
      </w:r>
    </w:p>
    <w:p w14:paraId="77327A3A">
      <w:r>
        <w:drawing>
          <wp:inline distT="0" distB="0" distL="0" distR="0">
            <wp:extent cx="4969510" cy="2630170"/>
            <wp:effectExtent l="0" t="0" r="2540" b="1778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8"/>
                    <a:stretch>
                      <a:fillRect/>
                    </a:stretch>
                  </pic:blipFill>
                  <pic:spPr>
                    <a:xfrm>
                      <a:off x="0" y="0"/>
                      <a:ext cx="4969510" cy="2630170"/>
                    </a:xfrm>
                    <a:prstGeom prst="rect">
                      <a:avLst/>
                    </a:prstGeom>
                  </pic:spPr>
                </pic:pic>
              </a:graphicData>
            </a:graphic>
          </wp:inline>
        </w:drawing>
      </w:r>
    </w:p>
    <w:p w14:paraId="08E13519">
      <w:r>
        <w:rPr>
          <w:rFonts w:hint="eastAsia"/>
        </w:rPr>
        <w:t>上图中“可用金额”即为您筛选范围对应的可用订单明细总额。</w:t>
      </w:r>
    </w:p>
    <w:p w14:paraId="41576F5C">
      <w:r>
        <w:rPr>
          <w:rFonts w:hint="eastAsia"/>
        </w:rPr>
        <w:t>在“确认订单”页面，选择对应的“业务类型”（大部分客户应该都是“未纳入海关统计的网络购物”）和您期望付款到的结算账户，点击“提交”，提交成功会有下图提示：</w:t>
      </w:r>
    </w:p>
    <w:p w14:paraId="3883596D">
      <w:r>
        <w:drawing>
          <wp:inline distT="0" distB="0" distL="0" distR="0">
            <wp:extent cx="6645910" cy="1616075"/>
            <wp:effectExtent l="0" t="0" r="2540" b="317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9"/>
                    <a:stretch>
                      <a:fillRect/>
                    </a:stretch>
                  </pic:blipFill>
                  <pic:spPr>
                    <a:xfrm>
                      <a:off x="0" y="0"/>
                      <a:ext cx="6645910" cy="1616075"/>
                    </a:xfrm>
                    <a:prstGeom prst="rect">
                      <a:avLst/>
                    </a:prstGeom>
                  </pic:spPr>
                </pic:pic>
              </a:graphicData>
            </a:graphic>
          </wp:inline>
        </w:drawing>
      </w:r>
    </w:p>
    <w:p w14:paraId="1F511632">
      <w:r>
        <w:rPr>
          <w:rFonts w:hint="eastAsia"/>
        </w:rPr>
        <w:t>点击关闭或直接点击菜单栏的“人民币出境订单明细”，返回到订单明细页面，可以查看您前面操作后生成的订单明细批次，参考下图：</w:t>
      </w:r>
    </w:p>
    <w:p w14:paraId="26A976E7">
      <w:r>
        <w:rPr>
          <w:rFonts w:hint="eastAsia"/>
        </w:rPr>
        <w:t>前面的“提交”操作提交的订单明细可在下图中找到，一次操作会有一条记录，记录会展示明细的具体状态（订单明细提交后会先进行规则校验），如遇到“校验失败”可点击“详情”查看失败原因，不明确或有问题可以联系我司运营排查。</w:t>
      </w:r>
    </w:p>
    <w:p w14:paraId="53E20D28">
      <w:r>
        <w:drawing>
          <wp:inline distT="0" distB="0" distL="0" distR="0">
            <wp:extent cx="6095365" cy="1503045"/>
            <wp:effectExtent l="0" t="0" r="635" b="190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0"/>
                    <a:stretch>
                      <a:fillRect/>
                    </a:stretch>
                  </pic:blipFill>
                  <pic:spPr>
                    <a:xfrm>
                      <a:off x="0" y="0"/>
                      <a:ext cx="6095365" cy="1503045"/>
                    </a:xfrm>
                    <a:prstGeom prst="rect">
                      <a:avLst/>
                    </a:prstGeom>
                  </pic:spPr>
                </pic:pic>
              </a:graphicData>
            </a:graphic>
          </wp:inline>
        </w:drawing>
      </w:r>
    </w:p>
    <w:p w14:paraId="549F916A">
      <w:pPr>
        <w:pStyle w:val="8"/>
        <w:outlineLvl w:val="2"/>
      </w:pPr>
      <w:bookmarkStart w:id="2" w:name="_Toc650"/>
      <w:r>
        <w:rPr>
          <w:rFonts w:hint="eastAsia"/>
        </w:rPr>
        <w:t>2.1.2发起付汇</w:t>
      </w:r>
      <w:bookmarkEnd w:id="2"/>
    </w:p>
    <w:p w14:paraId="5F827447">
      <w:r>
        <w:rPr>
          <w:rFonts w:hint="eastAsia"/>
        </w:rPr>
        <w:t>对于“校验成功”且成功笔数不为0的记录，在记录最前方可以勾选该批次订单明细，勾选一条记录后的“付汇”或勾选多条记录后点击“合并付汇”跳转至下图：二次检查确认无误后，通过验证码校验发起出境申请。</w:t>
      </w:r>
    </w:p>
    <w:p w14:paraId="68E548D1">
      <w:r>
        <w:drawing>
          <wp:inline distT="0" distB="0" distL="0" distR="0">
            <wp:extent cx="6645910" cy="3302000"/>
            <wp:effectExtent l="0" t="0" r="2540" b="1270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1"/>
                    <a:stretch>
                      <a:fillRect/>
                    </a:stretch>
                  </pic:blipFill>
                  <pic:spPr>
                    <a:xfrm>
                      <a:off x="0" y="0"/>
                      <a:ext cx="6645910" cy="3302000"/>
                    </a:xfrm>
                    <a:prstGeom prst="rect">
                      <a:avLst/>
                    </a:prstGeom>
                  </pic:spPr>
                </pic:pic>
              </a:graphicData>
            </a:graphic>
          </wp:inline>
        </w:drawing>
      </w:r>
    </w:p>
    <w:p w14:paraId="424366EE">
      <w:r>
        <w:rPr>
          <w:rFonts w:hint="eastAsia"/>
        </w:rPr>
        <w:t>验证码校验无误确认提交后，会如下图提示“付汇确认成功”，可以回到“人民币出境订单明细”查看申请状态，对应记录的状态应变为“申请购汇成功”</w:t>
      </w:r>
    </w:p>
    <w:p w14:paraId="7B8B6B5A">
      <w:r>
        <w:drawing>
          <wp:inline distT="0" distB="0" distL="0" distR="0">
            <wp:extent cx="6645910" cy="2592070"/>
            <wp:effectExtent l="0" t="0" r="2540" b="1778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2"/>
                    <a:stretch>
                      <a:fillRect/>
                    </a:stretch>
                  </pic:blipFill>
                  <pic:spPr>
                    <a:xfrm>
                      <a:off x="0" y="0"/>
                      <a:ext cx="6645910" cy="2592070"/>
                    </a:xfrm>
                    <a:prstGeom prst="rect">
                      <a:avLst/>
                    </a:prstGeom>
                  </pic:spPr>
                </pic:pic>
              </a:graphicData>
            </a:graphic>
          </wp:inline>
        </w:drawing>
      </w:r>
    </w:p>
    <w:p w14:paraId="4616DAC5"/>
    <w:p w14:paraId="35D920D1">
      <w:pPr>
        <w:pStyle w:val="8"/>
        <w:ind w:firstLine="0" w:firstLineChars="0"/>
        <w:outlineLvl w:val="1"/>
        <w:rPr>
          <w:b/>
          <w:bCs/>
        </w:rPr>
      </w:pPr>
      <w:bookmarkStart w:id="3" w:name="_Toc31139"/>
      <w:r>
        <w:rPr>
          <w:rFonts w:hint="eastAsia"/>
          <w:b/>
          <w:bCs/>
        </w:rPr>
        <w:t>2.2按模板导入方式</w:t>
      </w:r>
      <w:bookmarkEnd w:id="3"/>
    </w:p>
    <w:p w14:paraId="136FF167">
      <w:r>
        <w:rPr>
          <w:rFonts w:hint="eastAsia"/>
        </w:rPr>
        <w:t>在一些场景上，您可能希望是按照具体的金额出境而不是基于某个时间范围内的订单明细进行出境；在这个背景下，我们提供了按模板导入方式来进行订单明细的提交。</w:t>
      </w:r>
    </w:p>
    <w:p w14:paraId="2C8D8AC5">
      <w:r>
        <w:rPr>
          <w:rFonts w:hint="eastAsia"/>
        </w:rPr>
        <w:t>和交易筛选方式类似，您可先进入“人民币出境管理&gt;</w:t>
      </w:r>
      <w:r>
        <w:t>&gt;</w:t>
      </w:r>
      <w:r>
        <w:rPr>
          <w:rFonts w:hint="eastAsia"/>
        </w:rPr>
        <w:t>人民币出境订单明细”菜单页，先根据时间+终端筛选出您目标要出境的订单明细，在此明细基础上进行二次加工/筛选。</w:t>
      </w:r>
    </w:p>
    <w:p w14:paraId="31C7408D">
      <w:r>
        <w:rPr>
          <w:rFonts w:hint="eastAsia"/>
        </w:rPr>
        <w:t>点击“查询”后，点击页面上的“导出交易”，系统会弹框提示符合条件的交易汇总情况，点击“确认导出”即可导出订单明细。</w:t>
      </w:r>
    </w:p>
    <w:p w14:paraId="106C440F">
      <w:r>
        <w:drawing>
          <wp:inline distT="0" distB="0" distL="0" distR="0">
            <wp:extent cx="6645910" cy="1714500"/>
            <wp:effectExtent l="0" t="0" r="254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3"/>
                    <a:stretch>
                      <a:fillRect/>
                    </a:stretch>
                  </pic:blipFill>
                  <pic:spPr>
                    <a:xfrm>
                      <a:off x="0" y="0"/>
                      <a:ext cx="6645910" cy="1714500"/>
                    </a:xfrm>
                    <a:prstGeom prst="rect">
                      <a:avLst/>
                    </a:prstGeom>
                  </pic:spPr>
                </pic:pic>
              </a:graphicData>
            </a:graphic>
          </wp:inline>
        </w:drawing>
      </w:r>
    </w:p>
    <w:p w14:paraId="511B5D82">
      <w:r>
        <w:drawing>
          <wp:inline distT="0" distB="0" distL="0" distR="0">
            <wp:extent cx="4911725" cy="2907665"/>
            <wp:effectExtent l="0" t="0" r="3175" b="698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4"/>
                    <a:stretch>
                      <a:fillRect/>
                    </a:stretch>
                  </pic:blipFill>
                  <pic:spPr>
                    <a:xfrm>
                      <a:off x="0" y="0"/>
                      <a:ext cx="4911725" cy="2907665"/>
                    </a:xfrm>
                    <a:prstGeom prst="rect">
                      <a:avLst/>
                    </a:prstGeom>
                  </pic:spPr>
                </pic:pic>
              </a:graphicData>
            </a:graphic>
          </wp:inline>
        </w:drawing>
      </w:r>
    </w:p>
    <w:p w14:paraId="26737B7E">
      <w:r>
        <w:rPr>
          <w:rFonts w:hint="eastAsia"/>
        </w:rPr>
        <w:t>明细文件导出后，会带上对应交易记录的交易类型（消费、退款），请在二次加工后形成和需出境资金金额一致的订单明细后通过“文件导入”入口提交明细。注意订单明细要去掉退款记录，原始交易发生过退款的也应该在该笔消费记录上扣减掉退款金额。</w:t>
      </w:r>
    </w:p>
    <w:p w14:paraId="6C0A41BD">
      <w:r>
        <w:drawing>
          <wp:inline distT="0" distB="0" distL="0" distR="0">
            <wp:extent cx="6645910" cy="1313815"/>
            <wp:effectExtent l="0" t="0" r="2540" b="63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5"/>
                    <a:stretch>
                      <a:fillRect/>
                    </a:stretch>
                  </pic:blipFill>
                  <pic:spPr>
                    <a:xfrm>
                      <a:off x="0" y="0"/>
                      <a:ext cx="6645910" cy="1313815"/>
                    </a:xfrm>
                    <a:prstGeom prst="rect">
                      <a:avLst/>
                    </a:prstGeom>
                  </pic:spPr>
                </pic:pic>
              </a:graphicData>
            </a:graphic>
          </wp:inline>
        </w:drawing>
      </w:r>
    </w:p>
    <w:p w14:paraId="4D72170A">
      <w:r>
        <w:rPr>
          <w:rFonts w:hint="eastAsia"/>
        </w:rPr>
        <w:t>点击“按模板导入”进入文件导入页面，如下图：</w:t>
      </w:r>
    </w:p>
    <w:p w14:paraId="47D0CE93">
      <w:r>
        <w:drawing>
          <wp:inline distT="0" distB="0" distL="0" distR="0">
            <wp:extent cx="7684135" cy="2574925"/>
            <wp:effectExtent l="0" t="0" r="12065" b="1587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6"/>
                    <a:stretch>
                      <a:fillRect/>
                    </a:stretch>
                  </pic:blipFill>
                  <pic:spPr>
                    <a:xfrm>
                      <a:off x="0" y="0"/>
                      <a:ext cx="7684135" cy="2574925"/>
                    </a:xfrm>
                    <a:prstGeom prst="rect">
                      <a:avLst/>
                    </a:prstGeom>
                  </pic:spPr>
                </pic:pic>
              </a:graphicData>
            </a:graphic>
          </wp:inline>
        </w:drawing>
      </w:r>
    </w:p>
    <w:p w14:paraId="15C091AA">
      <w:r>
        <w:rPr>
          <w:rFonts w:hint="eastAsia"/>
        </w:rPr>
        <w:t>选择加工后的文件、选择“业务类型”、结算账户，点击提交，提交后如下图：</w:t>
      </w:r>
    </w:p>
    <w:p w14:paraId="1B9FF8E4">
      <w:r>
        <w:drawing>
          <wp:inline distT="0" distB="0" distL="0" distR="0">
            <wp:extent cx="8973185" cy="2012315"/>
            <wp:effectExtent l="0" t="0" r="18415" b="698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7"/>
                    <a:stretch>
                      <a:fillRect/>
                    </a:stretch>
                  </pic:blipFill>
                  <pic:spPr>
                    <a:xfrm>
                      <a:off x="0" y="0"/>
                      <a:ext cx="8973185" cy="2012315"/>
                    </a:xfrm>
                    <a:prstGeom prst="rect">
                      <a:avLst/>
                    </a:prstGeom>
                  </pic:spPr>
                </pic:pic>
              </a:graphicData>
            </a:graphic>
          </wp:inline>
        </w:drawing>
      </w:r>
    </w:p>
    <w:p w14:paraId="79D7CA5D">
      <w:r>
        <w:rPr>
          <w:rFonts w:hint="eastAsia"/>
        </w:rPr>
        <w:t>文件提交后，会形成和交易筛选方式相同的订单明细批次记录，后续的操作“付汇/合并付汇”就和交易筛选方式无区别了，此处不再赘述。</w:t>
      </w:r>
    </w:p>
    <w:p w14:paraId="3778ACF2"/>
    <w:p w14:paraId="03287E4D">
      <w:pPr>
        <w:pStyle w:val="8"/>
        <w:numPr>
          <w:ilvl w:val="0"/>
          <w:numId w:val="2"/>
        </w:numPr>
        <w:ind w:firstLineChars="0"/>
        <w:jc w:val="left"/>
        <w:outlineLvl w:val="0"/>
        <w:rPr>
          <w:rFonts w:ascii="黑体" w:hAnsi="黑体" w:eastAsia="黑体"/>
          <w:b/>
          <w:sz w:val="24"/>
        </w:rPr>
      </w:pPr>
      <w:r>
        <w:rPr>
          <w:rFonts w:hint="eastAsia" w:ascii="黑体" w:hAnsi="黑体" w:eastAsia="黑体"/>
          <w:b/>
          <w:sz w:val="24"/>
        </w:rPr>
        <w:t>付汇状态跟踪</w:t>
      </w:r>
    </w:p>
    <w:p w14:paraId="57703728">
      <w:r>
        <w:rPr>
          <w:rFonts w:hint="eastAsia"/>
        </w:rPr>
        <w:t>前序提交付汇申请后，系统对生成对应的付汇记录，便于您跟踪每笔付汇的具体情况。</w:t>
      </w:r>
    </w:p>
    <w:p w14:paraId="3D2472A1">
      <w:pPr>
        <w:rPr>
          <w:rFonts w:hint="eastAsia"/>
        </w:rPr>
      </w:pPr>
      <w:r>
        <w:rPr>
          <w:rFonts w:hint="eastAsia"/>
        </w:rPr>
        <w:t>具体的付汇状态跟踪</w:t>
      </w:r>
      <w:r>
        <w:rPr>
          <w:rFonts w:hint="eastAsia"/>
          <w:lang w:val="en-US" w:eastAsia="zh-CN"/>
        </w:rPr>
        <w:t>以及汇款回单</w:t>
      </w:r>
      <w:r>
        <w:rPr>
          <w:rFonts w:hint="eastAsia"/>
        </w:rPr>
        <w:t>通过“人民币出境管理&gt;</w:t>
      </w:r>
      <w:r>
        <w:t>&gt;</w:t>
      </w:r>
      <w:r>
        <w:rPr>
          <w:rFonts w:hint="eastAsia"/>
        </w:rPr>
        <w:t>人民币出境记录”中进行查看，如下图：</w:t>
      </w:r>
    </w:p>
    <w:p w14:paraId="747E43D1">
      <w:r>
        <w:rPr>
          <w:rFonts w:hint="eastAsia"/>
        </w:rPr>
        <w:t>若需要事后查看某笔付汇所使用的订单明细，可以点击记录后的“明细”按钮，文件生成后进入“下载中心”下载查看。</w:t>
      </w:r>
    </w:p>
    <w:p w14:paraId="367E7211">
      <w:pPr>
        <w:rPr>
          <w:rFonts w:hint="eastAsia"/>
        </w:rPr>
      </w:pPr>
    </w:p>
    <w:p w14:paraId="5A0C5211">
      <w:r>
        <w:drawing>
          <wp:inline distT="0" distB="0" distL="0" distR="0">
            <wp:extent cx="6645910" cy="3017520"/>
            <wp:effectExtent l="0" t="0" r="2540" b="1143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6645910" cy="3017520"/>
                    </a:xfrm>
                    <a:prstGeom prst="rect">
                      <a:avLst/>
                    </a:prstGeom>
                  </pic:spPr>
                </pic:pic>
              </a:graphicData>
            </a:graphic>
          </wp:inline>
        </w:drawing>
      </w:r>
    </w:p>
    <w:p w14:paraId="46A593BA">
      <w:r>
        <w:drawing>
          <wp:inline distT="0" distB="0" distL="114300" distR="114300">
            <wp:extent cx="8134350" cy="9334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a:stretch>
                      <a:fillRect/>
                    </a:stretch>
                  </pic:blipFill>
                  <pic:spPr>
                    <a:xfrm>
                      <a:off x="0" y="0"/>
                      <a:ext cx="8134350" cy="933450"/>
                    </a:xfrm>
                    <a:prstGeom prst="rect">
                      <a:avLst/>
                    </a:prstGeom>
                    <a:noFill/>
                    <a:ln>
                      <a:noFill/>
                    </a:ln>
                  </pic:spPr>
                </pic:pic>
              </a:graphicData>
            </a:graphic>
          </wp:inline>
        </w:drawing>
      </w:r>
    </w:p>
    <w:p w14:paraId="3E88636F"/>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F735D"/>
    <w:multiLevelType w:val="multilevel"/>
    <w:tmpl w:val="174F73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C77926"/>
    <w:multiLevelType w:val="multilevel"/>
    <w:tmpl w:val="26C77926"/>
    <w:lvl w:ilvl="0" w:tentative="0">
      <w:start w:val="1"/>
      <w:numFmt w:val="decimal"/>
      <w:lvlText w:val="%1."/>
      <w:lvlJc w:val="left"/>
      <w:pPr>
        <w:ind w:left="425" w:hanging="425"/>
      </w:pPr>
      <w:rPr>
        <w:rFonts w:hint="default" w:ascii="宋体" w:hAnsi="宋体" w:eastAsia="宋体" w:cs="宋体"/>
      </w:rPr>
    </w:lvl>
    <w:lvl w:ilvl="1" w:tentative="0">
      <w:start w:val="1"/>
      <w:numFmt w:val="decimal"/>
      <w:pStyle w:val="2"/>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wNWY4NDVkYzhmMjMxOGQ5ZDQ0YjAxYjcxMzNlZTQifQ=="/>
  </w:docVars>
  <w:rsids>
    <w:rsidRoot w:val="000543E0"/>
    <w:rsid w:val="000543E0"/>
    <w:rsid w:val="00143F02"/>
    <w:rsid w:val="00162777"/>
    <w:rsid w:val="00165999"/>
    <w:rsid w:val="001A7507"/>
    <w:rsid w:val="001E4B7A"/>
    <w:rsid w:val="00353A0D"/>
    <w:rsid w:val="00C21A1B"/>
    <w:rsid w:val="00F16017"/>
    <w:rsid w:val="00F80439"/>
    <w:rsid w:val="176D617B"/>
    <w:rsid w:val="19AD122C"/>
    <w:rsid w:val="2B6D6AC4"/>
    <w:rsid w:val="3B724CC7"/>
    <w:rsid w:val="4E364123"/>
    <w:rsid w:val="5D55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2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numPr>
        <w:ilvl w:val="1"/>
        <w:numId w:val="1"/>
      </w:numPr>
      <w:spacing w:before="260" w:after="260" w:line="416" w:lineRule="auto"/>
      <w:ind w:left="0" w:firstLine="0"/>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autoRedefine/>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1368</Words>
  <Characters>1385</Characters>
  <Lines>11</Lines>
  <Paragraphs>3</Paragraphs>
  <TotalTime>8</TotalTime>
  <ScaleCrop>false</ScaleCrop>
  <LinksUpToDate>false</LinksUpToDate>
  <CharactersWithSpaces>1385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2020-12-22T09:58:00Z</dcterms:created>
  <dc:creator>吕林倩</dc:creator>
  <cp:lastModifiedBy>WPS_1665287353</cp:lastModifiedBy>
  <dcterms:modified xsi:type="dcterms:W3CDTF">2025-02-08T06:31:18Z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645206C111384922B4E90E0AE757BA89_13</vt:lpwstr>
  </property>
  <property fmtid="{D5CDD505-2E9C-101B-9397-08002B2CF9AE}" pid="4" name="KSOTemplateDocerSaveRecord">
    <vt:lpwstr>eyJoZGlkIjoiZmMwNWY4NDVkYzhmMjMxOGQ5ZDQ0YjAxYjcxMzNlZTQiLCJ1c2VySWQiOiIxNDE4NjA3MDM0In0=</vt:lpwstr>
  </property>
</Properties>
</file>